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>
        <w:rPr>
          <w:rFonts w:asciiTheme="majorBidi" w:hAnsiTheme="majorBidi" w:cstheme="majorBidi"/>
          <w:sz w:val="28"/>
          <w:szCs w:val="28"/>
        </w:rPr>
        <w:t>Нарвинская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школа имени Героя Советского Союза 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Круглова Василия Ивановича  "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40"/>
        <w:gridCol w:w="3302"/>
      </w:tblGrid>
      <w:tr w:rsidR="002910E8" w:rsidTr="002910E8">
        <w:tc>
          <w:tcPr>
            <w:tcW w:w="3273" w:type="dxa"/>
          </w:tcPr>
          <w:p w:rsidR="002910E8" w:rsidRDefault="002910E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910E8" w:rsidRDefault="002910E8">
            <w:pPr>
              <w:spacing w:after="160" w:line="256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910E8" w:rsidRDefault="002910E8">
            <w:pPr>
              <w:spacing w:after="160"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910E8" w:rsidRDefault="002910E8">
            <w:pPr>
              <w:rPr>
                <w:rFonts w:asciiTheme="majorBidi" w:eastAsia="Times New Roman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«Утверждаю»</w:t>
            </w:r>
          </w:p>
          <w:p w:rsidR="002910E8" w:rsidRDefault="002910E8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Директор школы  </w:t>
            </w:r>
          </w:p>
          <w:p w:rsidR="002910E8" w:rsidRDefault="002910E8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________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Е.А.Свиридова</w:t>
            </w:r>
            <w:proofErr w:type="spellEnd"/>
          </w:p>
          <w:p w:rsidR="002910E8" w:rsidRDefault="002910E8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4"/>
                <w:u w:val="single"/>
              </w:rPr>
              <w:t xml:space="preserve">31»   08          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2023 г.</w:t>
            </w:r>
          </w:p>
          <w:p w:rsidR="002910E8" w:rsidRDefault="002910E8">
            <w:pPr>
              <w:spacing w:after="160" w:line="256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:rsidR="002910E8" w:rsidRDefault="002910E8" w:rsidP="002910E8">
      <w:pPr>
        <w:jc w:val="center"/>
        <w:rPr>
          <w:rFonts w:asciiTheme="majorBidi" w:eastAsia="Times New Roman" w:hAnsiTheme="majorBidi" w:cstheme="majorBidi"/>
          <w:lang w:val="en-US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2910E8" w:rsidRDefault="00C50B92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="002910E8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. Нарва</w:t>
      </w:r>
    </w:p>
    <w:p w:rsidR="002910E8" w:rsidRDefault="002910E8" w:rsidP="002910E8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 2023</w:t>
      </w:r>
    </w:p>
    <w:p w:rsidR="003A17CD" w:rsidRPr="004642EA" w:rsidRDefault="003A17CD" w:rsidP="00EC6FAA">
      <w:pPr>
        <w:jc w:val="center"/>
        <w:rPr>
          <w:rFonts w:ascii="Times New Roman" w:hAnsi="Times New Roman"/>
          <w:b/>
          <w:sz w:val="24"/>
          <w:szCs w:val="24"/>
        </w:rPr>
      </w:pPr>
      <w:r w:rsidRPr="004642EA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учебному плану 11 класс</w:t>
      </w:r>
      <w:r w:rsidR="002D1EF3" w:rsidRPr="004642EA">
        <w:rPr>
          <w:rFonts w:ascii="Times New Roman" w:hAnsi="Times New Roman"/>
          <w:b/>
          <w:sz w:val="24"/>
          <w:szCs w:val="24"/>
        </w:rPr>
        <w:t xml:space="preserve">а </w:t>
      </w:r>
      <w:r w:rsidRPr="004642EA">
        <w:rPr>
          <w:rFonts w:ascii="Times New Roman" w:hAnsi="Times New Roman"/>
          <w:b/>
          <w:sz w:val="24"/>
          <w:szCs w:val="24"/>
        </w:rPr>
        <w:t>(ФГОС СОО)</w:t>
      </w:r>
    </w:p>
    <w:p w:rsidR="003A17CD" w:rsidRPr="004642EA" w:rsidRDefault="003A17CD" w:rsidP="003A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2EA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4642EA">
        <w:rPr>
          <w:rFonts w:ascii="Times New Roman" w:hAnsi="Times New Roman"/>
          <w:b/>
          <w:sz w:val="24"/>
          <w:szCs w:val="24"/>
        </w:rPr>
        <w:t>Нарвинская</w:t>
      </w:r>
      <w:proofErr w:type="spellEnd"/>
      <w:r w:rsidRPr="004642EA">
        <w:rPr>
          <w:rFonts w:ascii="Times New Roman" w:hAnsi="Times New Roman"/>
          <w:b/>
          <w:sz w:val="24"/>
          <w:szCs w:val="24"/>
        </w:rPr>
        <w:t xml:space="preserve"> СШ им. </w:t>
      </w:r>
      <w:proofErr w:type="spellStart"/>
      <w:r w:rsidRPr="004642EA">
        <w:rPr>
          <w:rFonts w:ascii="Times New Roman" w:hAnsi="Times New Roman"/>
          <w:b/>
          <w:sz w:val="24"/>
          <w:szCs w:val="24"/>
        </w:rPr>
        <w:t>В.И.Круглова</w:t>
      </w:r>
      <w:proofErr w:type="spellEnd"/>
      <w:r w:rsidRPr="004642EA">
        <w:rPr>
          <w:rFonts w:ascii="Times New Roman" w:hAnsi="Times New Roman"/>
          <w:b/>
          <w:sz w:val="24"/>
          <w:szCs w:val="24"/>
        </w:rPr>
        <w:t>»</w:t>
      </w:r>
    </w:p>
    <w:p w:rsidR="003A17CD" w:rsidRPr="004642EA" w:rsidRDefault="003A17CD" w:rsidP="003A17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Учебный план  для 11 класс</w:t>
      </w:r>
      <w:r w:rsidR="002D1EF3" w:rsidRPr="004642EA">
        <w:rPr>
          <w:rFonts w:ascii="Times New Roman" w:hAnsi="Times New Roman"/>
          <w:sz w:val="24"/>
          <w:szCs w:val="24"/>
        </w:rPr>
        <w:t>а</w:t>
      </w:r>
      <w:r w:rsidRPr="004642EA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4642EA">
        <w:rPr>
          <w:rFonts w:ascii="Times New Roman" w:hAnsi="Times New Roman"/>
          <w:sz w:val="24"/>
          <w:szCs w:val="24"/>
        </w:rPr>
        <w:t>Нарвинская</w:t>
      </w:r>
      <w:proofErr w:type="spellEnd"/>
      <w:r w:rsidRPr="004642EA">
        <w:rPr>
          <w:rFonts w:ascii="Times New Roman" w:hAnsi="Times New Roman"/>
          <w:sz w:val="24"/>
          <w:szCs w:val="24"/>
        </w:rPr>
        <w:t xml:space="preserve"> СШ им. </w:t>
      </w:r>
      <w:proofErr w:type="spellStart"/>
      <w:r w:rsidRPr="004642EA">
        <w:rPr>
          <w:rFonts w:ascii="Times New Roman" w:hAnsi="Times New Roman"/>
          <w:sz w:val="24"/>
          <w:szCs w:val="24"/>
        </w:rPr>
        <w:t>В.И.Круглова</w:t>
      </w:r>
      <w:proofErr w:type="spellEnd"/>
      <w:r w:rsidRPr="004642EA">
        <w:rPr>
          <w:rFonts w:ascii="Times New Roman" w:hAnsi="Times New Roman"/>
          <w:sz w:val="24"/>
          <w:szCs w:val="24"/>
        </w:rPr>
        <w:t>» реализующей программы среднего общего образования, является нормативным правовым актом, устанавливающим объемы учебного времени, отводимого на освоение основных общеобразовательных программ среднего общего образования.</w:t>
      </w:r>
    </w:p>
    <w:p w:rsidR="003A17CD" w:rsidRPr="004642EA" w:rsidRDefault="003A17CD" w:rsidP="003A17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 xml:space="preserve">Учебный план разработан на основе: </w:t>
      </w:r>
    </w:p>
    <w:p w:rsidR="003A17CD" w:rsidRPr="004642EA" w:rsidRDefault="003A17CD" w:rsidP="003A17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Нормативно - правовые документы федерального уровня:</w:t>
      </w:r>
    </w:p>
    <w:p w:rsidR="003A17CD" w:rsidRPr="004642EA" w:rsidRDefault="003A17CD" w:rsidP="003A17C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Федеральный закон ст. 2, 13  №273-ФЗ «Об образовании в Российской Федерации»;</w:t>
      </w:r>
    </w:p>
    <w:p w:rsidR="003A17CD" w:rsidRPr="004642EA" w:rsidRDefault="003A17CD" w:rsidP="003A1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 xml:space="preserve">- СанПиН </w:t>
      </w:r>
      <w:r w:rsidR="00EC6FAA" w:rsidRPr="004642EA">
        <w:rPr>
          <w:rFonts w:ascii="Times New Roman" w:hAnsi="Times New Roman"/>
          <w:color w:val="000000"/>
          <w:sz w:val="24"/>
          <w:szCs w:val="24"/>
        </w:rPr>
        <w:t>1.2.3685-21</w:t>
      </w:r>
      <w:r w:rsidR="00EC6FAA" w:rsidRPr="004642EA">
        <w:rPr>
          <w:rFonts w:ascii="Times New Roman" w:hAnsi="Times New Roman"/>
          <w:sz w:val="24"/>
          <w:szCs w:val="24"/>
        </w:rPr>
        <w:t xml:space="preserve"> </w:t>
      </w:r>
      <w:r w:rsidRPr="004642EA">
        <w:rPr>
          <w:rFonts w:ascii="Times New Roman" w:hAnsi="Times New Roman"/>
          <w:sz w:val="24"/>
          <w:szCs w:val="24"/>
        </w:rPr>
        <w:t xml:space="preserve">«Санитарно – эпидемиологические требования к условиям и организации обучения в общеобразовательных учреждениях», </w:t>
      </w:r>
      <w:proofErr w:type="gramStart"/>
      <w:r w:rsidRPr="004642EA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4642EA">
        <w:rPr>
          <w:rFonts w:ascii="Times New Roman" w:hAnsi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Федерации.</w:t>
      </w:r>
    </w:p>
    <w:p w:rsidR="003A17CD" w:rsidRPr="004642EA" w:rsidRDefault="003A17CD" w:rsidP="003A17C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:rsidR="003A17CD" w:rsidRPr="004642EA" w:rsidRDefault="003A17CD" w:rsidP="003A17CD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Приказ Министерства образования и науки РФ от 29 июня 2017 г. № 613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</w:t>
      </w:r>
      <w:proofErr w:type="gramStart"/>
      <w:r w:rsidRPr="004642E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A17CD" w:rsidRPr="004642EA" w:rsidRDefault="003A17CD" w:rsidP="003A17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- Приказ Министерства просвещения РФ от 24 сентября 2020 г. N 519 "О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413".</w:t>
      </w:r>
    </w:p>
    <w:p w:rsidR="003A17CD" w:rsidRPr="004642EA" w:rsidRDefault="003A17CD" w:rsidP="004642E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42EA">
        <w:rPr>
          <w:rFonts w:ascii="Times New Roman" w:hAnsi="Times New Roman"/>
          <w:sz w:val="24"/>
          <w:szCs w:val="24"/>
        </w:rPr>
        <w:t>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Стандарта, сохранение единого образовательного пространства, а также выполнение гигиенических требований к условиям обучения школьников и сохранения их здоровья.</w:t>
      </w:r>
    </w:p>
    <w:p w:rsidR="003A17CD" w:rsidRPr="004642EA" w:rsidRDefault="003A17CD" w:rsidP="0046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Учебным планом определено:</w:t>
      </w:r>
    </w:p>
    <w:p w:rsidR="003A17CD" w:rsidRPr="004642EA" w:rsidRDefault="003A17CD" w:rsidP="004642E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 xml:space="preserve">количество учебных занятий за  11 класс составляет </w:t>
      </w:r>
      <w:r w:rsidRPr="004642EA">
        <w:rPr>
          <w:rFonts w:ascii="Times New Roman" w:hAnsi="Times New Roman"/>
          <w:sz w:val="24"/>
          <w:szCs w:val="24"/>
        </w:rPr>
        <w:t>11</w:t>
      </w:r>
      <w:r w:rsidR="004642EA" w:rsidRPr="004642EA">
        <w:rPr>
          <w:rFonts w:ascii="Times New Roman" w:hAnsi="Times New Roman"/>
          <w:sz w:val="24"/>
          <w:szCs w:val="24"/>
        </w:rPr>
        <w:t>22</w:t>
      </w:r>
      <w:r w:rsidRPr="004642EA">
        <w:rPr>
          <w:rFonts w:ascii="Times New Roman" w:hAnsi="Times New Roman"/>
          <w:sz w:val="24"/>
          <w:szCs w:val="24"/>
        </w:rPr>
        <w:t xml:space="preserve">  часов в год;</w:t>
      </w:r>
    </w:p>
    <w:p w:rsidR="003A17CD" w:rsidRPr="004642EA" w:rsidRDefault="003A17CD" w:rsidP="0046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42EA">
        <w:rPr>
          <w:rFonts w:ascii="TimesNewRomanPSMT" w:hAnsi="TimesNewRomanPSMT" w:cs="TimesNewRomanPSMT"/>
          <w:sz w:val="24"/>
          <w:szCs w:val="24"/>
        </w:rPr>
        <w:t>итого за 2 года обучения  на одного обучающегося  приходится  2</w:t>
      </w:r>
      <w:r w:rsidR="004642EA" w:rsidRPr="004642EA">
        <w:rPr>
          <w:rFonts w:ascii="TimesNewRomanPSMT" w:hAnsi="TimesNewRomanPSMT" w:cs="TimesNewRomanPSMT"/>
          <w:sz w:val="24"/>
          <w:szCs w:val="24"/>
        </w:rPr>
        <w:t>278</w:t>
      </w:r>
      <w:r w:rsidRPr="004642EA">
        <w:rPr>
          <w:rFonts w:ascii="TimesNewRomanPSMT" w:hAnsi="TimesNewRomanPSMT" w:cs="TimesNewRomanPSMT"/>
          <w:sz w:val="24"/>
          <w:szCs w:val="24"/>
        </w:rPr>
        <w:t xml:space="preserve"> часов (не менее 2170 часов и не более 2590 часов).</w:t>
      </w:r>
    </w:p>
    <w:p w:rsidR="003A17CD" w:rsidRPr="004642EA" w:rsidRDefault="003A17CD" w:rsidP="00464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 xml:space="preserve">Учебный план предусматривает изучение: учебных предметов по выбору из обязательных предметных областей, дополнительных учебных предметов, курсов по выбору. </w:t>
      </w:r>
      <w:r w:rsidRPr="004642EA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составлен на основе 3 варианта универсального профиля, </w:t>
      </w:r>
      <w:r w:rsidRPr="004642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содержит  11 (12) учебных предметов и предусматривает изучение предметов из </w:t>
      </w:r>
      <w:r w:rsidRPr="004642EA">
        <w:rPr>
          <w:rFonts w:ascii="TimesNewRomanPSMT" w:hAnsi="TimesNewRomanPSMT" w:cs="TimesNewRomanPSMT"/>
          <w:sz w:val="24"/>
          <w:szCs w:val="24"/>
        </w:rPr>
        <w:t>следующих обязательных предметных областей: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"Русский язык и литература"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"Родной язык и родная литература"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"Иностранные языки"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"Общественные науки"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"Математика и информатика"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"Естественные науки"</w:t>
      </w:r>
    </w:p>
    <w:p w:rsidR="003A17CD" w:rsidRPr="004642EA" w:rsidRDefault="003A17CD" w:rsidP="003A17CD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>предметная область "Физическая культура, экология и основы безопасности жизнедеятельности".</w:t>
      </w:r>
    </w:p>
    <w:p w:rsidR="003A17CD" w:rsidRPr="004642EA" w:rsidRDefault="003A17CD" w:rsidP="003A17CD">
      <w:pPr>
        <w:spacing w:after="0" w:line="240" w:lineRule="auto"/>
        <w:ind w:firstLine="567"/>
        <w:rPr>
          <w:rFonts w:ascii="TimesNewRomanPSMT" w:hAnsi="TimesNewRomanPSMT" w:cs="TimesNewRomanPSMT"/>
          <w:sz w:val="24"/>
          <w:szCs w:val="24"/>
        </w:rPr>
      </w:pPr>
      <w:r w:rsidRPr="004642EA">
        <w:rPr>
          <w:rFonts w:ascii="TimesNewRomanPSMT" w:hAnsi="TimesNewRomanPSMT" w:cs="TimesNewRomanPSMT"/>
          <w:sz w:val="24"/>
          <w:szCs w:val="24"/>
        </w:rPr>
        <w:t xml:space="preserve">В учебный план  включены дополнительные учебные предметы, курсы по выбору </w:t>
      </w:r>
      <w:proofErr w:type="gramStart"/>
      <w:r w:rsidRPr="004642EA"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 w:rsidRPr="004642EA">
        <w:rPr>
          <w:rFonts w:ascii="TimesNewRomanPSMT" w:hAnsi="TimesNewRomanPSMT" w:cs="TimesNewRomanPSMT"/>
          <w:sz w:val="24"/>
          <w:szCs w:val="24"/>
        </w:rPr>
        <w:t>: информатика, физика, химия, география, технология, МХК.</w:t>
      </w:r>
    </w:p>
    <w:p w:rsidR="003A17CD" w:rsidRPr="004642EA" w:rsidRDefault="003A17CD" w:rsidP="003A17CD">
      <w:pPr>
        <w:spacing w:after="0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4642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учебном плане предусмотрено выполнение </w:t>
      </w:r>
      <w:proofErr w:type="gramStart"/>
      <w:r w:rsidRPr="004642EA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обучающимися</w:t>
      </w:r>
      <w:proofErr w:type="gramEnd"/>
      <w:r w:rsidRPr="004642EA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индивидуального проекта.</w:t>
      </w:r>
    </w:p>
    <w:p w:rsidR="003A17CD" w:rsidRPr="004642EA" w:rsidRDefault="003A17CD" w:rsidP="003A1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642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Индивидуальный проект выполняется обучающимся самостоятельно под руководством учителя (</w:t>
      </w:r>
      <w:proofErr w:type="spellStart"/>
      <w:r w:rsidRPr="004642EA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4642EA">
        <w:rPr>
          <w:rFonts w:ascii="Times New Roman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46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2EA">
        <w:rPr>
          <w:rFonts w:ascii="Times New Roman" w:hAnsi="Times New Roman" w:cs="Times New Roman"/>
          <w:sz w:val="24"/>
          <w:szCs w:val="24"/>
          <w:lang w:eastAsia="ru-RU"/>
        </w:rPr>
        <w:t>иной.</w:t>
      </w:r>
      <w:proofErr w:type="gramEnd"/>
      <w:r w:rsidRPr="004642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642EA">
        <w:rPr>
          <w:rFonts w:ascii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4642EA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4642EA" w:rsidRPr="00FE1193" w:rsidRDefault="004642EA" w:rsidP="004642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E1193">
        <w:rPr>
          <w:rFonts w:ascii="Times New Roman" w:hAnsi="Times New Roman"/>
          <w:sz w:val="24"/>
          <w:szCs w:val="24"/>
        </w:rPr>
        <w:t xml:space="preserve">Для недопущения перегрузки обучающихся, на период каникул, перенесена образовательная нагрузка, реализуемая через внеурочную деятельность. Внеурочная деятельность в каникулярное время реализуется в рамках тематических образовательных программ. В урочное время реализуется специальное направление внеурочной деятельности «Разговоры о </w:t>
      </w:r>
      <w:proofErr w:type="gramStart"/>
      <w:r w:rsidRPr="00FE1193">
        <w:rPr>
          <w:rFonts w:ascii="Times New Roman" w:hAnsi="Times New Roman"/>
          <w:sz w:val="24"/>
          <w:szCs w:val="24"/>
        </w:rPr>
        <w:t>важном</w:t>
      </w:r>
      <w:proofErr w:type="gramEnd"/>
      <w:r w:rsidRPr="00FE1193">
        <w:rPr>
          <w:rFonts w:ascii="Times New Roman" w:hAnsi="Times New Roman"/>
          <w:sz w:val="24"/>
          <w:szCs w:val="24"/>
        </w:rPr>
        <w:t>» и профориентация «Россия-мои горизонты».</w:t>
      </w:r>
    </w:p>
    <w:p w:rsidR="004642EA" w:rsidRPr="00FE1193" w:rsidRDefault="004642EA" w:rsidP="004642EA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E1193">
        <w:rPr>
          <w:rFonts w:ascii="Times New Roman" w:hAnsi="Times New Roman" w:cs="Calibri"/>
          <w:b/>
          <w:sz w:val="24"/>
          <w:szCs w:val="24"/>
        </w:rPr>
        <w:tab/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Для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достоинства, </w:t>
      </w: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>у</w:t>
      </w:r>
      <w:r w:rsidRPr="00FE1193">
        <w:rPr>
          <w:rFonts w:ascii="Times New Roman" w:eastAsia="Calibri" w:hAnsi="Times New Roman"/>
          <w:color w:val="000000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навыков, соотнесение этого уровня с требованиями государственного образовательного стандарта (ФГОС) и контроля выполнения учебных программ в конце каждого учебного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предусмотрено </w:t>
      </w: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>проведение промежуточной аттестации</w:t>
      </w: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обучающихся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4642EA" w:rsidRPr="00FE1193" w:rsidRDefault="004642EA" w:rsidP="004642EA">
      <w:pPr>
        <w:shd w:val="clear" w:color="auto" w:fill="FFFFFF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Формы промежуточной аттестации:</w:t>
      </w:r>
    </w:p>
    <w:p w:rsidR="004642EA" w:rsidRPr="00FE1193" w:rsidRDefault="004642EA" w:rsidP="00464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- письменная проверка – это письменный ответ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обучающегося</w:t>
      </w:r>
      <w:proofErr w:type="gramEnd"/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на один или систему вопросов (заданий).  </w:t>
      </w:r>
      <w:proofErr w:type="gramStart"/>
      <w:r w:rsidRPr="00FE1193">
        <w:rPr>
          <w:rFonts w:ascii="Times New Roman" w:eastAsia="Calibri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4642EA" w:rsidRPr="00FE1193" w:rsidRDefault="004642EA" w:rsidP="00464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- устная проверка – это устный ответ обучающегося на один или систему вопросов в форме рассказа, беседы, собеседования и другое.</w:t>
      </w:r>
    </w:p>
    <w:p w:rsidR="004642EA" w:rsidRDefault="004642EA" w:rsidP="00464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E1193">
        <w:rPr>
          <w:rFonts w:ascii="Times New Roman" w:eastAsia="Calibri" w:hAnsi="Times New Roman"/>
          <w:color w:val="000000"/>
          <w:sz w:val="24"/>
          <w:szCs w:val="24"/>
        </w:rPr>
        <w:t xml:space="preserve">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4642EA" w:rsidRDefault="004642EA" w:rsidP="00464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0"/>
        <w:gridCol w:w="1985"/>
        <w:gridCol w:w="2551"/>
      </w:tblGrid>
      <w:tr w:rsidR="004642EA" w:rsidRPr="004642EA" w:rsidTr="004642EA">
        <w:trPr>
          <w:trHeight w:val="295"/>
        </w:trPr>
        <w:tc>
          <w:tcPr>
            <w:tcW w:w="26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103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3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аттестации</w:t>
            </w:r>
          </w:p>
        </w:tc>
      </w:tr>
      <w:tr w:rsidR="004642EA" w:rsidRPr="004642EA" w:rsidTr="004642EA">
        <w:trPr>
          <w:trHeight w:val="389"/>
        </w:trPr>
        <w:tc>
          <w:tcPr>
            <w:tcW w:w="263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33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2EA" w:rsidRPr="004642EA" w:rsidRDefault="004642EA" w:rsidP="006172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4642EA" w:rsidRPr="004642EA" w:rsidTr="004642EA">
        <w:trPr>
          <w:trHeight w:val="389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2EA" w:rsidRPr="004642EA" w:rsidRDefault="004642EA" w:rsidP="0061726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</w:t>
            </w:r>
            <w:proofErr w:type="gramEnd"/>
          </w:p>
        </w:tc>
      </w:tr>
      <w:tr w:rsidR="004642EA" w:rsidRPr="004642EA" w:rsidTr="004642EA">
        <w:trPr>
          <w:trHeight w:val="285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0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304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ВПР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642EA" w:rsidRPr="004642EA" w:rsidTr="004642EA">
        <w:trPr>
          <w:trHeight w:val="20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642EA" w:rsidRPr="004642EA" w:rsidTr="004642EA">
        <w:trPr>
          <w:trHeight w:val="368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4642EA" w:rsidRPr="004642EA" w:rsidTr="004642EA">
        <w:trPr>
          <w:trHeight w:val="368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A" w:rsidRPr="004642EA" w:rsidRDefault="004642EA" w:rsidP="006172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>
            <w:pPr>
              <w:contextualSpacing/>
              <w:rPr>
                <w:sz w:val="24"/>
                <w:szCs w:val="24"/>
              </w:rPr>
            </w:pPr>
            <w:r w:rsidRPr="004642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2EA" w:rsidRPr="004642EA" w:rsidRDefault="004642EA" w:rsidP="006172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642EA" w:rsidRPr="00FE1193" w:rsidRDefault="004642EA" w:rsidP="004642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A17CD" w:rsidRPr="004642EA" w:rsidRDefault="003A17CD" w:rsidP="003A17CD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При проведении </w:t>
      </w:r>
      <w:proofErr w:type="gramStart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>контроля качества освоения содержания учебных программ обучающихся</w:t>
      </w:r>
      <w:proofErr w:type="gramEnd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могут использоваться информационно – коммуникационные технологии, всероссийские проверочные работы.</w:t>
      </w:r>
    </w:p>
    <w:p w:rsidR="003A17CD" w:rsidRPr="004642EA" w:rsidRDefault="003A17CD" w:rsidP="00EC6FAA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Освоение </w:t>
      </w:r>
      <w:proofErr w:type="gramStart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основной образовательной программы завершается государственной итоговой аттестацией выпускников.</w:t>
      </w:r>
    </w:p>
    <w:p w:rsidR="003A17CD" w:rsidRPr="004642EA" w:rsidRDefault="003A17CD" w:rsidP="003A17CD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</w:t>
      </w:r>
      <w:proofErr w:type="gramStart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>"Литература", "Физика", "Химия", "Биология", "География", "История", "Обществознание", "Иностранный язык" (английский), "Информатика", которые обучающиеся сдают на добровольной основе по своему выбору.</w:t>
      </w:r>
      <w:proofErr w:type="gramEnd"/>
    </w:p>
    <w:p w:rsidR="003A17CD" w:rsidRPr="004642EA" w:rsidRDefault="003A17CD" w:rsidP="003A17CD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>Обучающийся самостоятельно выбирает уровень (базовый или профильный), в соответствии с которым будет проводиться государственная итоговая аттестация по учебному предмету "Математика".</w:t>
      </w:r>
    </w:p>
    <w:p w:rsidR="003A17CD" w:rsidRPr="004642EA" w:rsidRDefault="003A17CD" w:rsidP="003A17CD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Допускается прохождение </w:t>
      </w:r>
      <w:proofErr w:type="gramStart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>обучающимися</w:t>
      </w:r>
      <w:proofErr w:type="gramEnd"/>
      <w:r w:rsidRPr="004642E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государственной итоговой аттестации по завершении изучения отдельных учебных предметов после 10 класса.</w:t>
      </w:r>
    </w:p>
    <w:p w:rsidR="003A17CD" w:rsidRPr="004642EA" w:rsidRDefault="003A17CD" w:rsidP="003A17C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 xml:space="preserve">      Примечание: 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>1. Обязательная нагрузка учащихся (обязательный минимум часов, который каждый ученик должен получить в течение учебной недели) школой определена в объеме 34 недельных часов  и  включена в основное расписание.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>2. Максимальный объем учебной нагрузки обучающегося соответствует санитарно-гигиеническим нормам и определяет нагрузку одного ученика.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 xml:space="preserve">3. Учебный план  на учебный год  принимается решением педсовета и утверждается приказом по школе.  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>Продолжительность урока в школе в 11 класс</w:t>
      </w:r>
      <w:r w:rsidR="004642EA" w:rsidRPr="004642EA">
        <w:rPr>
          <w:rFonts w:ascii="Times New Roman" w:hAnsi="Times New Roman"/>
          <w:sz w:val="24"/>
          <w:szCs w:val="28"/>
        </w:rPr>
        <w:t>е</w:t>
      </w:r>
      <w:r w:rsidRPr="004642EA">
        <w:rPr>
          <w:rFonts w:ascii="Times New Roman" w:hAnsi="Times New Roman"/>
          <w:sz w:val="24"/>
          <w:szCs w:val="28"/>
        </w:rPr>
        <w:t xml:space="preserve"> – 40 минут. 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>Занятия учеников 11  класса проходят в первую смену.</w:t>
      </w:r>
    </w:p>
    <w:p w:rsidR="003A17CD" w:rsidRPr="004642EA" w:rsidRDefault="004642EA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 xml:space="preserve">4. Образовательный процесс в </w:t>
      </w:r>
      <w:r w:rsidR="003A17CD" w:rsidRPr="004642EA">
        <w:rPr>
          <w:rFonts w:ascii="Times New Roman" w:hAnsi="Times New Roman"/>
          <w:sz w:val="24"/>
          <w:szCs w:val="28"/>
        </w:rPr>
        <w:t>11 класса в 202</w:t>
      </w:r>
      <w:r w:rsidRPr="004642EA">
        <w:rPr>
          <w:rFonts w:ascii="Times New Roman" w:hAnsi="Times New Roman"/>
          <w:sz w:val="24"/>
          <w:szCs w:val="28"/>
        </w:rPr>
        <w:t>3</w:t>
      </w:r>
      <w:r w:rsidR="003A17CD" w:rsidRPr="004642EA">
        <w:rPr>
          <w:rFonts w:ascii="Times New Roman" w:hAnsi="Times New Roman"/>
          <w:sz w:val="24"/>
          <w:szCs w:val="28"/>
        </w:rPr>
        <w:t>-202</w:t>
      </w:r>
      <w:r w:rsidRPr="004642EA">
        <w:rPr>
          <w:rFonts w:ascii="Times New Roman" w:hAnsi="Times New Roman"/>
          <w:sz w:val="24"/>
          <w:szCs w:val="28"/>
        </w:rPr>
        <w:t xml:space="preserve">4 </w:t>
      </w:r>
      <w:r w:rsidR="003A17CD" w:rsidRPr="004642EA">
        <w:rPr>
          <w:rFonts w:ascii="Times New Roman" w:hAnsi="Times New Roman"/>
          <w:sz w:val="24"/>
          <w:szCs w:val="28"/>
        </w:rPr>
        <w:t>учебном году проходит  в режиме 5-ти дневной недели.</w:t>
      </w:r>
    </w:p>
    <w:p w:rsidR="003A17CD" w:rsidRPr="004642EA" w:rsidRDefault="003A17CD" w:rsidP="003A17CD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8"/>
        </w:rPr>
      </w:pPr>
      <w:r w:rsidRPr="004642EA">
        <w:rPr>
          <w:rFonts w:ascii="Times New Roman" w:hAnsi="Times New Roman"/>
          <w:sz w:val="24"/>
          <w:szCs w:val="28"/>
        </w:rPr>
        <w:t>5. Учебный год в школе начинается 1 сентября и продолжается 3</w:t>
      </w:r>
      <w:r w:rsidR="004642EA" w:rsidRPr="004642EA">
        <w:rPr>
          <w:rFonts w:ascii="Times New Roman" w:hAnsi="Times New Roman"/>
          <w:sz w:val="24"/>
          <w:szCs w:val="28"/>
        </w:rPr>
        <w:t>3</w:t>
      </w:r>
      <w:r w:rsidRPr="004642EA">
        <w:rPr>
          <w:rFonts w:ascii="Times New Roman" w:hAnsi="Times New Roman"/>
          <w:sz w:val="24"/>
          <w:szCs w:val="28"/>
        </w:rPr>
        <w:t xml:space="preserve"> учебные недели.</w:t>
      </w:r>
    </w:p>
    <w:p w:rsidR="005D16CF" w:rsidRDefault="005D16CF" w:rsidP="00D538E7">
      <w:pPr>
        <w:ind w:left="-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876FF8" w:rsidRDefault="00876FF8" w:rsidP="00D538E7">
      <w:pPr>
        <w:ind w:left="-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sectPr w:rsidR="00876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5133" w:rsidRPr="00D61EA0" w:rsidRDefault="00CC2380" w:rsidP="00D538E7">
      <w:pPr>
        <w:ind w:left="-567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У</w:t>
      </w:r>
      <w:r w:rsidR="00095133" w:rsidRPr="00236EA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чебный план среднего об</w:t>
      </w:r>
      <w:r w:rsidR="000951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щего образования </w:t>
      </w:r>
      <w:r w:rsidR="004642E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09513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11 классы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1559"/>
        <w:gridCol w:w="1417"/>
      </w:tblGrid>
      <w:tr w:rsidR="00095133" w:rsidRPr="00236EAE" w:rsidTr="00E635BD">
        <w:trPr>
          <w:trHeight w:hRule="exact" w:val="7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C81E73" w:rsidRDefault="00095133" w:rsidP="0011416F">
            <w:pPr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81E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Предметы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81E7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Количество часов в </w:t>
            </w: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неделю</w:t>
            </w:r>
          </w:p>
        </w:tc>
      </w:tr>
      <w:tr w:rsidR="00095133" w:rsidRPr="00236EAE" w:rsidTr="00C750DA">
        <w:trPr>
          <w:trHeight w:hRule="exact" w:val="27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DC2A0A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095133" w:rsidRPr="00236EAE" w:rsidTr="00C750DA">
        <w:trPr>
          <w:trHeight w:hRule="exact" w:val="3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095133" w:rsidRPr="00236EAE" w:rsidTr="00C750DA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95133" w:rsidRPr="00236EAE" w:rsidTr="00E635BD">
        <w:trPr>
          <w:trHeight w:hRule="exact" w:val="3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</w:t>
            </w:r>
            <w:r w:rsidR="000C3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95133" w:rsidRPr="00236EAE" w:rsidTr="00E635BD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</w:t>
            </w:r>
            <w:r w:rsidR="000C3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A4F" w:rsidRPr="00236EAE" w:rsidTr="00411A4F">
        <w:trPr>
          <w:trHeight w:val="9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63207F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Математика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653D7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D92D43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416400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095133" w:rsidRPr="00236EAE" w:rsidTr="00C750DA">
        <w:trPr>
          <w:trHeight w:val="6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63207F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20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Иностранный язык </w:t>
            </w:r>
            <w:r w:rsidR="00B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(английский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416F" w:rsidRPr="00236EAE" w:rsidTr="00411A4F">
        <w:trPr>
          <w:trHeight w:val="66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Pr="00A56B7F" w:rsidRDefault="0011416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16F" w:rsidRPr="00BD700B" w:rsidRDefault="0011416F" w:rsidP="0011416F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Pr="00BD700B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Pr="00BD700B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1416F" w:rsidRPr="00236EAE" w:rsidTr="00491911">
        <w:trPr>
          <w:trHeight w:val="6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95133" w:rsidRPr="00236EAE" w:rsidTr="00C750DA">
        <w:trPr>
          <w:trHeight w:hRule="exact" w:val="3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A56B7F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A4F" w:rsidRPr="00236EAE" w:rsidTr="00C750DA">
        <w:trPr>
          <w:trHeight w:val="4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A4F" w:rsidRPr="00236EAE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A4F" w:rsidRPr="00236EAE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95133" w:rsidRPr="00236EAE" w:rsidTr="00C750DA">
        <w:trPr>
          <w:trHeight w:hRule="exact" w:val="3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A56B7F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6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кукукукукультуракуль</w:t>
            </w:r>
            <w:r w:rsidRPr="00236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416400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33" w:rsidRPr="00416400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095133" w:rsidRPr="00236EAE" w:rsidTr="00C750DA">
        <w:trPr>
          <w:trHeight w:val="12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133" w:rsidRPr="00236EAE" w:rsidRDefault="00095133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133" w:rsidRPr="00236EAE" w:rsidRDefault="00095133" w:rsidP="0011416F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33" w:rsidRPr="00D61EA0" w:rsidRDefault="00095133" w:rsidP="0011416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5133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5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095133" w:rsidRPr="00D61EA0" w:rsidRDefault="00095133" w:rsidP="0011416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C2A0A" w:rsidRPr="00236EAE" w:rsidTr="00DC2A0A">
        <w:trPr>
          <w:trHeight w:val="249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2A0A" w:rsidRPr="00B5352D" w:rsidRDefault="00DC2A0A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30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</w:t>
            </w:r>
            <w:r w:rsidRPr="00D6303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отношений</w:t>
            </w:r>
          </w:p>
        </w:tc>
      </w:tr>
      <w:tr w:rsidR="00095133" w:rsidRPr="00236EAE" w:rsidTr="00C8431D">
        <w:trPr>
          <w:trHeight w:hRule="exact" w:val="35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D61EA0" w:rsidRDefault="00095133" w:rsidP="0011416F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3" w:rsidRPr="00A42028" w:rsidRDefault="00095133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411A4F" w:rsidRPr="00236EAE" w:rsidTr="00C750DA">
        <w:trPr>
          <w:trHeight w:hRule="exact" w:val="33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4F" w:rsidRPr="00236EAE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Pr="00416400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4F" w:rsidRPr="00416400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411A4F" w:rsidRPr="00236EAE" w:rsidTr="00911EF2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Pr="00416400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1416F" w:rsidRPr="00236EAE" w:rsidTr="0011416F">
        <w:trPr>
          <w:trHeight w:val="40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16F" w:rsidRPr="00236EAE" w:rsidRDefault="0011416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Pr="00416400" w:rsidRDefault="0011416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6F" w:rsidRDefault="0011416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A4F" w:rsidRPr="00236EAE" w:rsidTr="00247847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Pr="00416400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A4F" w:rsidRPr="00236EAE" w:rsidTr="00247847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A4F" w:rsidRPr="00236EAE" w:rsidTr="00E35E24">
        <w:trPr>
          <w:trHeight w:hRule="exact" w:val="33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Pr="00236EAE" w:rsidRDefault="00411A4F" w:rsidP="0011416F">
            <w:pPr>
              <w:ind w:left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4F" w:rsidRDefault="00411A4F" w:rsidP="00114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5BD" w:rsidRPr="00236EAE" w:rsidTr="00C750DA">
        <w:trPr>
          <w:trHeight w:hRule="exact" w:val="73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D" w:rsidRPr="00236EAE" w:rsidRDefault="00E635BD" w:rsidP="00411A4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Предельно-допустимая аудиторная учебная нагрузка при 5-дневной учебной неделе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D" w:rsidRPr="002D1EF3" w:rsidRDefault="00E635BD" w:rsidP="00411A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D" w:rsidRPr="00D61EA0" w:rsidRDefault="00E635BD" w:rsidP="00411A4F">
            <w:pPr>
              <w:tabs>
                <w:tab w:val="left" w:pos="258"/>
                <w:tab w:val="center" w:pos="40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</w:pPr>
            <w:r w:rsidRPr="00A420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34</w:t>
            </w:r>
          </w:p>
        </w:tc>
      </w:tr>
      <w:tr w:rsidR="00EC6FAA" w:rsidRPr="00236EAE" w:rsidTr="005D16CF">
        <w:trPr>
          <w:trHeight w:hRule="exact" w:val="41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A" w:rsidRPr="00236EAE" w:rsidRDefault="00EC6FAA" w:rsidP="00411A4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Внеурочная деятельность </w:t>
            </w:r>
            <w:r w:rsidR="00876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A" w:rsidRPr="00EC6FAA" w:rsidRDefault="00EC6FAA" w:rsidP="00411A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A" w:rsidRPr="00EC6FAA" w:rsidRDefault="00876FF8" w:rsidP="00411A4F">
            <w:pPr>
              <w:tabs>
                <w:tab w:val="left" w:pos="258"/>
                <w:tab w:val="center" w:pos="40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76FF8" w:rsidRPr="00236EAE" w:rsidTr="005D16CF">
        <w:trPr>
          <w:trHeight w:hRule="exact" w:val="41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8" w:rsidRDefault="004642EA" w:rsidP="00411A4F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деятельность 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Россия-мои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8" w:rsidRPr="00EC6FAA" w:rsidRDefault="00876FF8" w:rsidP="00411A4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8" w:rsidRDefault="00876FF8" w:rsidP="00411A4F">
            <w:pPr>
              <w:tabs>
                <w:tab w:val="left" w:pos="258"/>
                <w:tab w:val="center" w:pos="40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5FF2" w:rsidRPr="00236EAE" w:rsidTr="005D16CF">
        <w:trPr>
          <w:trHeight w:hRule="exact" w:val="397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2" w:rsidRPr="00236EAE" w:rsidRDefault="009E5FF2" w:rsidP="00411A4F">
            <w:pPr>
              <w:ind w:left="72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E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тарификации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2" w:rsidRPr="00DC2A0A" w:rsidRDefault="009E5FF2" w:rsidP="00EC6FA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F2" w:rsidRPr="00DC2A0A" w:rsidRDefault="00DC2A0A" w:rsidP="00EC6FAA">
            <w:pPr>
              <w:tabs>
                <w:tab w:val="left" w:pos="258"/>
                <w:tab w:val="center" w:pos="40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3</w:t>
            </w:r>
            <w:r w:rsidR="004642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</w:tbl>
    <w:p w:rsidR="00F918D3" w:rsidRDefault="00F918D3"/>
    <w:sectPr w:rsidR="00F9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C9C"/>
    <w:multiLevelType w:val="hybridMultilevel"/>
    <w:tmpl w:val="32544792"/>
    <w:lvl w:ilvl="0" w:tplc="B422F3EA">
      <w:numFmt w:val="bullet"/>
      <w:lvlText w:val="·"/>
      <w:lvlJc w:val="left"/>
      <w:pPr>
        <w:ind w:left="1228" w:hanging="6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00C29E7"/>
    <w:multiLevelType w:val="hybridMultilevel"/>
    <w:tmpl w:val="95D6C8BC"/>
    <w:lvl w:ilvl="0" w:tplc="51C68F88">
      <w:start w:val="1"/>
      <w:numFmt w:val="bullet"/>
      <w:lvlText w:val="-"/>
      <w:lvlJc w:val="left"/>
      <w:pPr>
        <w:ind w:left="1287" w:hanging="360"/>
      </w:pPr>
      <w:rPr>
        <w:rFonts w:ascii="Myanmar Text" w:hAnsi="Myanmar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396D88"/>
    <w:multiLevelType w:val="hybridMultilevel"/>
    <w:tmpl w:val="8D3810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E3"/>
    <w:rsid w:val="0002769E"/>
    <w:rsid w:val="00095133"/>
    <w:rsid w:val="000C3456"/>
    <w:rsid w:val="0011416F"/>
    <w:rsid w:val="00126E27"/>
    <w:rsid w:val="001664E3"/>
    <w:rsid w:val="00204B98"/>
    <w:rsid w:val="00217D15"/>
    <w:rsid w:val="002910E8"/>
    <w:rsid w:val="002D1EF3"/>
    <w:rsid w:val="003958E4"/>
    <w:rsid w:val="003A17CD"/>
    <w:rsid w:val="00411A4F"/>
    <w:rsid w:val="004642EA"/>
    <w:rsid w:val="004E74CE"/>
    <w:rsid w:val="00525F33"/>
    <w:rsid w:val="005777A4"/>
    <w:rsid w:val="005D16CF"/>
    <w:rsid w:val="00653D73"/>
    <w:rsid w:val="006B7B81"/>
    <w:rsid w:val="00823DD4"/>
    <w:rsid w:val="00876FF8"/>
    <w:rsid w:val="009E5FF2"/>
    <w:rsid w:val="00AB7F1F"/>
    <w:rsid w:val="00B03549"/>
    <w:rsid w:val="00BB2907"/>
    <w:rsid w:val="00BD700B"/>
    <w:rsid w:val="00C50B92"/>
    <w:rsid w:val="00C750DA"/>
    <w:rsid w:val="00C96FF7"/>
    <w:rsid w:val="00CC2380"/>
    <w:rsid w:val="00D538E7"/>
    <w:rsid w:val="00D92D43"/>
    <w:rsid w:val="00DC2A0A"/>
    <w:rsid w:val="00E635BD"/>
    <w:rsid w:val="00EC6FAA"/>
    <w:rsid w:val="00EF7E6B"/>
    <w:rsid w:val="00F9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E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4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E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91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8E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0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54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E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910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30</cp:revision>
  <cp:lastPrinted>2023-08-30T08:35:00Z</cp:lastPrinted>
  <dcterms:created xsi:type="dcterms:W3CDTF">2020-08-21T02:57:00Z</dcterms:created>
  <dcterms:modified xsi:type="dcterms:W3CDTF">2023-09-07T07:24:00Z</dcterms:modified>
</cp:coreProperties>
</file>